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35FA6" w14:textId="77777777" w:rsidR="00AE7CC0" w:rsidRDefault="00A744C5" w:rsidP="00837636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t xml:space="preserve">On 23 November 2022, the Queensland Government commenced a review of the </w:t>
      </w:r>
      <w:r>
        <w:rPr>
          <w:i/>
        </w:rPr>
        <w:t xml:space="preserve">Public </w:t>
      </w:r>
      <w:r>
        <w:rPr>
          <w:i/>
          <w:spacing w:val="-2"/>
        </w:rPr>
        <w:t>Interest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Disclosure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Act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2010</w:t>
      </w:r>
      <w:r>
        <w:rPr>
          <w:i/>
          <w:spacing w:val="-12"/>
        </w:rPr>
        <w:t xml:space="preserve"> </w:t>
      </w:r>
      <w:r>
        <w:rPr>
          <w:spacing w:val="-2"/>
        </w:rPr>
        <w:t>(PID</w:t>
      </w:r>
      <w:r>
        <w:rPr>
          <w:spacing w:val="-14"/>
        </w:rPr>
        <w:t xml:space="preserve"> </w:t>
      </w:r>
      <w:r>
        <w:rPr>
          <w:spacing w:val="-2"/>
        </w:rPr>
        <w:t>Act</w:t>
      </w:r>
      <w:r>
        <w:rPr>
          <w:spacing w:val="-12"/>
        </w:rPr>
        <w:t xml:space="preserve"> </w:t>
      </w:r>
      <w:r>
        <w:rPr>
          <w:spacing w:val="-2"/>
        </w:rPr>
        <w:t>review).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review</w:t>
      </w:r>
      <w:r>
        <w:rPr>
          <w:spacing w:val="-11"/>
        </w:rPr>
        <w:t xml:space="preserve"> </w:t>
      </w:r>
      <w:r>
        <w:rPr>
          <w:spacing w:val="-2"/>
        </w:rPr>
        <w:t>was</w:t>
      </w:r>
      <w:r>
        <w:rPr>
          <w:spacing w:val="-11"/>
        </w:rPr>
        <w:t xml:space="preserve"> </w:t>
      </w:r>
      <w:r>
        <w:rPr>
          <w:spacing w:val="-2"/>
        </w:rPr>
        <w:t>conducted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 xml:space="preserve">Honourable </w:t>
      </w:r>
      <w:r>
        <w:t>Alan Wilson KC.</w:t>
      </w:r>
    </w:p>
    <w:p w14:paraId="64635FA8" w14:textId="13E9A652" w:rsidR="00AE7CC0" w:rsidRDefault="00A744C5" w:rsidP="00837636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t xml:space="preserve">The review was undertaken following recommendations by the Parliamentary Crime and </w:t>
      </w:r>
      <w:r>
        <w:rPr>
          <w:spacing w:val="-4"/>
        </w:rPr>
        <w:t>Corruption</w:t>
      </w:r>
      <w:r>
        <w:rPr>
          <w:spacing w:val="-12"/>
        </w:rPr>
        <w:t xml:space="preserve"> </w:t>
      </w:r>
      <w:r>
        <w:rPr>
          <w:spacing w:val="-4"/>
        </w:rPr>
        <w:t>Committee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its</w:t>
      </w:r>
      <w:r>
        <w:rPr>
          <w:spacing w:val="-12"/>
        </w:rPr>
        <w:t xml:space="preserve"> </w:t>
      </w:r>
      <w:r>
        <w:rPr>
          <w:i/>
          <w:spacing w:val="-4"/>
        </w:rPr>
        <w:t>Report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on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the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Inquiry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into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the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Crime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and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>Corruption</w:t>
      </w:r>
      <w:r>
        <w:rPr>
          <w:i/>
          <w:spacing w:val="-11"/>
        </w:rPr>
        <w:t xml:space="preserve"> </w:t>
      </w:r>
      <w:r>
        <w:rPr>
          <w:i/>
          <w:spacing w:val="-4"/>
        </w:rPr>
        <w:t xml:space="preserve">Commission’s </w:t>
      </w:r>
      <w:r>
        <w:rPr>
          <w:i/>
        </w:rPr>
        <w:t>investigation</w:t>
      </w:r>
      <w:r>
        <w:rPr>
          <w:i/>
          <w:spacing w:val="18"/>
        </w:rPr>
        <w:t xml:space="preserve"> </w:t>
      </w:r>
      <w:r>
        <w:rPr>
          <w:i/>
        </w:rPr>
        <w:t>of</w:t>
      </w:r>
      <w:r>
        <w:rPr>
          <w:i/>
          <w:spacing w:val="20"/>
        </w:rPr>
        <w:t xml:space="preserve"> </w:t>
      </w:r>
      <w:r>
        <w:rPr>
          <w:i/>
        </w:rPr>
        <w:t>former</w:t>
      </w:r>
      <w:r>
        <w:rPr>
          <w:i/>
          <w:spacing w:val="19"/>
        </w:rPr>
        <w:t xml:space="preserve"> </w:t>
      </w:r>
      <w:r>
        <w:rPr>
          <w:i/>
        </w:rPr>
        <w:t>councillors</w:t>
      </w:r>
      <w:r>
        <w:rPr>
          <w:i/>
          <w:spacing w:val="18"/>
        </w:rPr>
        <w:t xml:space="preserve"> </w:t>
      </w:r>
      <w:r>
        <w:rPr>
          <w:i/>
        </w:rPr>
        <w:t>of</w:t>
      </w:r>
      <w:r>
        <w:rPr>
          <w:i/>
          <w:spacing w:val="19"/>
        </w:rPr>
        <w:t xml:space="preserve"> </w:t>
      </w:r>
      <w:r>
        <w:rPr>
          <w:i/>
        </w:rPr>
        <w:t>Logan</w:t>
      </w:r>
      <w:r>
        <w:rPr>
          <w:i/>
          <w:spacing w:val="18"/>
        </w:rPr>
        <w:t xml:space="preserve"> </w:t>
      </w:r>
      <w:r>
        <w:rPr>
          <w:i/>
        </w:rPr>
        <w:t>City</w:t>
      </w:r>
      <w:r>
        <w:rPr>
          <w:i/>
          <w:spacing w:val="16"/>
        </w:rPr>
        <w:t xml:space="preserve"> </w:t>
      </w:r>
      <w:r>
        <w:rPr>
          <w:i/>
        </w:rPr>
        <w:t>Council;</w:t>
      </w:r>
      <w:r>
        <w:rPr>
          <w:i/>
          <w:spacing w:val="19"/>
        </w:rPr>
        <w:t xml:space="preserve"> </w:t>
      </w:r>
      <w:r>
        <w:rPr>
          <w:i/>
        </w:rPr>
        <w:t>and</w:t>
      </w:r>
      <w:r>
        <w:rPr>
          <w:i/>
          <w:spacing w:val="18"/>
        </w:rPr>
        <w:t xml:space="preserve"> </w:t>
      </w:r>
      <w:r>
        <w:rPr>
          <w:i/>
        </w:rPr>
        <w:t>related</w:t>
      </w:r>
      <w:r>
        <w:rPr>
          <w:i/>
          <w:spacing w:val="16"/>
        </w:rPr>
        <w:t xml:space="preserve"> </w:t>
      </w:r>
      <w:r>
        <w:rPr>
          <w:i/>
        </w:rPr>
        <w:t>matters</w:t>
      </w:r>
      <w:r>
        <w:t>,</w:t>
      </w:r>
      <w:r>
        <w:rPr>
          <w:spacing w:val="17"/>
        </w:rPr>
        <w:t xml:space="preserve"> </w:t>
      </w:r>
      <w:r>
        <w:t>tabled</w:t>
      </w:r>
      <w:r>
        <w:rPr>
          <w:spacing w:val="18"/>
        </w:rPr>
        <w:t xml:space="preserve"> </w:t>
      </w:r>
      <w:r>
        <w:t xml:space="preserve">on </w:t>
      </w:r>
      <w:r w:rsidR="00837636">
        <w:br/>
      </w:r>
      <w:r>
        <w:t>2</w:t>
      </w:r>
      <w:r>
        <w:rPr>
          <w:spacing w:val="-16"/>
        </w:rPr>
        <w:t xml:space="preserve"> </w:t>
      </w:r>
      <w:r>
        <w:t>December</w:t>
      </w:r>
      <w:r>
        <w:rPr>
          <w:spacing w:val="-7"/>
        </w:rPr>
        <w:t xml:space="preserve"> </w:t>
      </w:r>
      <w:r>
        <w:t>2021,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Professor</w:t>
      </w:r>
      <w:r>
        <w:rPr>
          <w:spacing w:val="-8"/>
        </w:rPr>
        <w:t xml:space="preserve"> </w:t>
      </w:r>
      <w:r>
        <w:t>Peter</w:t>
      </w:r>
      <w:r>
        <w:rPr>
          <w:spacing w:val="-8"/>
        </w:rPr>
        <w:t xml:space="preserve"> </w:t>
      </w:r>
      <w:r>
        <w:t>Coaldrake</w:t>
      </w:r>
      <w:r>
        <w:rPr>
          <w:spacing w:val="-9"/>
        </w:rPr>
        <w:t xml:space="preserve"> </w:t>
      </w:r>
      <w:r>
        <w:t>AO,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rPr>
          <w:i/>
        </w:rPr>
        <w:t>Let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9"/>
        </w:rPr>
        <w:t xml:space="preserve"> </w:t>
      </w:r>
      <w:r>
        <w:rPr>
          <w:i/>
        </w:rPr>
        <w:t>sunshine</w:t>
      </w:r>
      <w:r>
        <w:rPr>
          <w:i/>
          <w:spacing w:val="-9"/>
        </w:rPr>
        <w:t xml:space="preserve"> </w:t>
      </w:r>
      <w:r>
        <w:rPr>
          <w:i/>
        </w:rPr>
        <w:t xml:space="preserve">in: </w:t>
      </w:r>
      <w:r>
        <w:rPr>
          <w:i/>
          <w:spacing w:val="-4"/>
        </w:rPr>
        <w:t>Review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of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culture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and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accountability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in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the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Queensland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public</w:t>
      </w:r>
      <w:r>
        <w:rPr>
          <w:i/>
          <w:spacing w:val="-6"/>
        </w:rPr>
        <w:t xml:space="preserve"> </w:t>
      </w:r>
      <w:r>
        <w:rPr>
          <w:i/>
          <w:spacing w:val="-4"/>
        </w:rPr>
        <w:t xml:space="preserve">sector </w:t>
      </w:r>
      <w:r>
        <w:rPr>
          <w:spacing w:val="-4"/>
        </w:rPr>
        <w:t>provided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 xml:space="preserve">Government </w:t>
      </w:r>
      <w:r>
        <w:t>on 28 June 2022.</w:t>
      </w:r>
    </w:p>
    <w:p w14:paraId="64635FAA" w14:textId="77777777" w:rsidR="00AE7CC0" w:rsidRDefault="00A744C5" w:rsidP="00837636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4"/>
        </w:rPr>
        <w:t xml:space="preserve"> </w:t>
      </w:r>
      <w:r>
        <w:rPr>
          <w:spacing w:val="-2"/>
        </w:rPr>
        <w:t>contains 107</w:t>
      </w:r>
      <w:r>
        <w:rPr>
          <w:spacing w:val="-4"/>
        </w:rPr>
        <w:t xml:space="preserve"> </w:t>
      </w:r>
      <w:r>
        <w:rPr>
          <w:spacing w:val="-2"/>
        </w:rPr>
        <w:t>broad-ranging</w:t>
      </w:r>
      <w:r>
        <w:rPr>
          <w:spacing w:val="-6"/>
        </w:rPr>
        <w:t xml:space="preserve"> </w:t>
      </w:r>
      <w:r>
        <w:rPr>
          <w:spacing w:val="-2"/>
        </w:rPr>
        <w:t>recommendations, including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 xml:space="preserve">replacement of the </w:t>
      </w:r>
      <w:r>
        <w:rPr>
          <w:spacing w:val="-4"/>
        </w:rPr>
        <w:t>existing</w:t>
      </w:r>
      <w:r>
        <w:rPr>
          <w:spacing w:val="-9"/>
        </w:rPr>
        <w:t xml:space="preserve"> </w:t>
      </w:r>
      <w:r>
        <w:rPr>
          <w:i/>
          <w:spacing w:val="-4"/>
        </w:rPr>
        <w:t>Public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Interest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Disclosure</w:t>
      </w:r>
      <w:r>
        <w:rPr>
          <w:i/>
          <w:spacing w:val="-6"/>
        </w:rPr>
        <w:t xml:space="preserve"> </w:t>
      </w:r>
      <w:r>
        <w:rPr>
          <w:i/>
          <w:spacing w:val="-4"/>
        </w:rPr>
        <w:t>Act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2010</w:t>
      </w:r>
      <w:r>
        <w:rPr>
          <w:i/>
          <w:spacing w:val="-5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new</w:t>
      </w:r>
      <w:r>
        <w:rPr>
          <w:spacing w:val="-7"/>
        </w:rPr>
        <w:t xml:space="preserve"> </w:t>
      </w:r>
      <w:r>
        <w:rPr>
          <w:spacing w:val="-4"/>
        </w:rPr>
        <w:t>Act</w:t>
      </w:r>
      <w:r>
        <w:rPr>
          <w:spacing w:val="-7"/>
        </w:rPr>
        <w:t xml:space="preserve"> </w:t>
      </w:r>
      <w:r>
        <w:rPr>
          <w:spacing w:val="-4"/>
        </w:rPr>
        <w:t>introducing</w:t>
      </w:r>
      <w:r>
        <w:rPr>
          <w:spacing w:val="-10"/>
        </w:rPr>
        <w:t xml:space="preserve"> </w:t>
      </w:r>
      <w:r>
        <w:rPr>
          <w:spacing w:val="-4"/>
        </w:rPr>
        <w:t>significant</w:t>
      </w:r>
      <w:r>
        <w:rPr>
          <w:spacing w:val="-7"/>
        </w:rPr>
        <w:t xml:space="preserve"> </w:t>
      </w:r>
      <w:r>
        <w:rPr>
          <w:spacing w:val="-4"/>
        </w:rPr>
        <w:t>reforms</w:t>
      </w:r>
      <w:r>
        <w:rPr>
          <w:spacing w:val="-9"/>
        </w:rPr>
        <w:t xml:space="preserve"> </w:t>
      </w:r>
      <w:r>
        <w:rPr>
          <w:spacing w:val="-4"/>
        </w:rPr>
        <w:t xml:space="preserve">and </w:t>
      </w:r>
      <w:r>
        <w:t xml:space="preserve">addressing existing shortcomings with the public interest disclosure scheme and related </w:t>
      </w:r>
      <w:r>
        <w:rPr>
          <w:spacing w:val="-2"/>
        </w:rPr>
        <w:t>matters.</w:t>
      </w:r>
    </w:p>
    <w:p w14:paraId="64635FAC" w14:textId="77777777" w:rsidR="00AE7CC0" w:rsidRDefault="00A744C5" w:rsidP="00837636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rPr>
          <w:spacing w:val="-2"/>
          <w:u w:val="single"/>
        </w:rPr>
        <w:t>Cabinet approved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public</w:t>
      </w:r>
      <w:r>
        <w:rPr>
          <w:spacing w:val="-8"/>
        </w:rPr>
        <w:t xml:space="preserve"> </w:t>
      </w:r>
      <w:r>
        <w:rPr>
          <w:spacing w:val="-2"/>
        </w:rPr>
        <w:t>release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i/>
          <w:spacing w:val="-2"/>
        </w:rPr>
        <w:t>Public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Interest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Disclosure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Act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2010</w:t>
      </w:r>
      <w:r>
        <w:rPr>
          <w:i/>
          <w:spacing w:val="-8"/>
        </w:rPr>
        <w:t xml:space="preserve"> </w:t>
      </w:r>
      <w:r>
        <w:rPr>
          <w:spacing w:val="-2"/>
        </w:rPr>
        <w:t>review</w:t>
      </w:r>
      <w:r>
        <w:rPr>
          <w:spacing w:val="-12"/>
        </w:rPr>
        <w:t xml:space="preserve"> </w:t>
      </w:r>
      <w:r>
        <w:rPr>
          <w:spacing w:val="-2"/>
        </w:rPr>
        <w:t xml:space="preserve">report </w:t>
      </w:r>
      <w:r>
        <w:t>and the Queensland Government response.</w:t>
      </w:r>
    </w:p>
    <w:p w14:paraId="64635FAE" w14:textId="1AB459E7" w:rsidR="00AE7CC0" w:rsidRDefault="00A744C5" w:rsidP="0031654B">
      <w:pPr>
        <w:pStyle w:val="ListParagraph"/>
        <w:numPr>
          <w:ilvl w:val="0"/>
          <w:numId w:val="1"/>
        </w:numPr>
        <w:tabs>
          <w:tab w:val="left" w:pos="567"/>
        </w:tabs>
        <w:spacing w:before="360"/>
        <w:ind w:left="562" w:hanging="562"/>
        <w:rPr>
          <w:i/>
        </w:rPr>
      </w:pPr>
      <w:r>
        <w:rPr>
          <w:i/>
          <w:spacing w:val="-2"/>
          <w:u w:val="single"/>
        </w:rPr>
        <w:t>Attachments</w:t>
      </w:r>
      <w:r w:rsidR="00837636">
        <w:rPr>
          <w:iCs/>
          <w:spacing w:val="-2"/>
        </w:rPr>
        <w:t>:</w:t>
      </w:r>
    </w:p>
    <w:p w14:paraId="64635FAF" w14:textId="2BD23748" w:rsidR="00AE7CC0" w:rsidRPr="00947E4E" w:rsidRDefault="00DE7562" w:rsidP="00837636">
      <w:pPr>
        <w:pStyle w:val="ListParagraph"/>
        <w:numPr>
          <w:ilvl w:val="1"/>
          <w:numId w:val="1"/>
        </w:numPr>
        <w:tabs>
          <w:tab w:val="left" w:pos="1134"/>
        </w:tabs>
        <w:spacing w:before="120"/>
        <w:ind w:left="1134" w:right="6" w:hanging="567"/>
        <w:jc w:val="left"/>
      </w:pPr>
      <w:hyperlink r:id="rId9" w:history="1">
        <w:r w:rsidR="00A744C5" w:rsidRPr="00AA15AE">
          <w:rPr>
            <w:rStyle w:val="Hyperlink"/>
            <w:spacing w:val="-2"/>
          </w:rPr>
          <w:t>Review</w:t>
        </w:r>
        <w:r w:rsidR="00A744C5" w:rsidRPr="00AA15AE">
          <w:rPr>
            <w:rStyle w:val="Hyperlink"/>
            <w:spacing w:val="-13"/>
          </w:rPr>
          <w:t xml:space="preserve"> </w:t>
        </w:r>
        <w:r w:rsidR="00A744C5" w:rsidRPr="00AA15AE">
          <w:rPr>
            <w:rStyle w:val="Hyperlink"/>
            <w:spacing w:val="-2"/>
          </w:rPr>
          <w:t>of</w:t>
        </w:r>
        <w:r w:rsidR="00A744C5" w:rsidRPr="00AA15AE">
          <w:rPr>
            <w:rStyle w:val="Hyperlink"/>
            <w:spacing w:val="-11"/>
          </w:rPr>
          <w:t xml:space="preserve"> </w:t>
        </w:r>
        <w:r w:rsidR="00A744C5" w:rsidRPr="00AA15AE">
          <w:rPr>
            <w:rStyle w:val="Hyperlink"/>
            <w:spacing w:val="-2"/>
          </w:rPr>
          <w:t>the</w:t>
        </w:r>
        <w:r w:rsidR="00A744C5" w:rsidRPr="00AA15AE">
          <w:rPr>
            <w:rStyle w:val="Hyperlink"/>
            <w:spacing w:val="-11"/>
          </w:rPr>
          <w:t xml:space="preserve"> </w:t>
        </w:r>
        <w:r w:rsidR="00A744C5" w:rsidRPr="00AA15AE">
          <w:rPr>
            <w:rStyle w:val="Hyperlink"/>
            <w:i/>
            <w:spacing w:val="-2"/>
          </w:rPr>
          <w:t>Public</w:t>
        </w:r>
        <w:r w:rsidR="00A744C5" w:rsidRPr="00AA15AE">
          <w:rPr>
            <w:rStyle w:val="Hyperlink"/>
            <w:i/>
            <w:spacing w:val="-13"/>
          </w:rPr>
          <w:t xml:space="preserve"> </w:t>
        </w:r>
        <w:r w:rsidR="00A744C5" w:rsidRPr="00AA15AE">
          <w:rPr>
            <w:rStyle w:val="Hyperlink"/>
            <w:i/>
            <w:spacing w:val="-2"/>
          </w:rPr>
          <w:t>Interest</w:t>
        </w:r>
        <w:r w:rsidR="00A744C5" w:rsidRPr="00AA15AE">
          <w:rPr>
            <w:rStyle w:val="Hyperlink"/>
            <w:i/>
            <w:spacing w:val="-10"/>
          </w:rPr>
          <w:t xml:space="preserve"> </w:t>
        </w:r>
        <w:r w:rsidR="00A744C5" w:rsidRPr="00AA15AE">
          <w:rPr>
            <w:rStyle w:val="Hyperlink"/>
            <w:i/>
            <w:spacing w:val="-2"/>
          </w:rPr>
          <w:t>Disclosure</w:t>
        </w:r>
        <w:r w:rsidR="00A744C5" w:rsidRPr="00AA15AE">
          <w:rPr>
            <w:rStyle w:val="Hyperlink"/>
            <w:i/>
            <w:spacing w:val="-12"/>
          </w:rPr>
          <w:t xml:space="preserve"> </w:t>
        </w:r>
        <w:r w:rsidR="00A744C5" w:rsidRPr="00AA15AE">
          <w:rPr>
            <w:rStyle w:val="Hyperlink"/>
            <w:i/>
            <w:spacing w:val="-2"/>
          </w:rPr>
          <w:t>Act</w:t>
        </w:r>
        <w:r w:rsidR="00A744C5" w:rsidRPr="00AA15AE">
          <w:rPr>
            <w:rStyle w:val="Hyperlink"/>
            <w:i/>
            <w:spacing w:val="-10"/>
          </w:rPr>
          <w:t xml:space="preserve"> </w:t>
        </w:r>
        <w:r w:rsidR="00A744C5" w:rsidRPr="00AA15AE">
          <w:rPr>
            <w:rStyle w:val="Hyperlink"/>
            <w:i/>
            <w:spacing w:val="-2"/>
          </w:rPr>
          <w:t>2010</w:t>
        </w:r>
        <w:r w:rsidR="00A744C5" w:rsidRPr="00AA15AE">
          <w:rPr>
            <w:rStyle w:val="Hyperlink"/>
            <w:i/>
            <w:spacing w:val="-12"/>
          </w:rPr>
          <w:t xml:space="preserve"> </w:t>
        </w:r>
        <w:r w:rsidR="00A744C5" w:rsidRPr="00AA15AE">
          <w:rPr>
            <w:rStyle w:val="Hyperlink"/>
            <w:spacing w:val="-2"/>
          </w:rPr>
          <w:t>Report</w:t>
        </w:r>
        <w:r w:rsidR="00A744C5" w:rsidRPr="00AA15AE">
          <w:rPr>
            <w:rStyle w:val="Hyperlink"/>
            <w:spacing w:val="-10"/>
          </w:rPr>
          <w:t xml:space="preserve"> </w:t>
        </w:r>
        <w:r w:rsidR="00A744C5" w:rsidRPr="00AA15AE">
          <w:rPr>
            <w:rStyle w:val="Hyperlink"/>
            <w:spacing w:val="-2"/>
          </w:rPr>
          <w:t>–</w:t>
        </w:r>
        <w:r w:rsidR="00A744C5" w:rsidRPr="00AA15AE">
          <w:rPr>
            <w:rStyle w:val="Hyperlink"/>
            <w:spacing w:val="-14"/>
          </w:rPr>
          <w:t xml:space="preserve"> </w:t>
        </w:r>
        <w:r w:rsidR="00A744C5" w:rsidRPr="00AA15AE">
          <w:rPr>
            <w:rStyle w:val="Hyperlink"/>
            <w:spacing w:val="-2"/>
          </w:rPr>
          <w:t>June</w:t>
        </w:r>
        <w:r w:rsidR="00A744C5" w:rsidRPr="00AA15AE">
          <w:rPr>
            <w:rStyle w:val="Hyperlink"/>
            <w:spacing w:val="-11"/>
          </w:rPr>
          <w:t xml:space="preserve"> </w:t>
        </w:r>
        <w:r w:rsidR="00A744C5" w:rsidRPr="00AA15AE">
          <w:rPr>
            <w:rStyle w:val="Hyperlink"/>
            <w:spacing w:val="-4"/>
          </w:rPr>
          <w:t>2023</w:t>
        </w:r>
      </w:hyperlink>
    </w:p>
    <w:p w14:paraId="428472C0" w14:textId="56FB38B1" w:rsidR="00947E4E" w:rsidRDefault="00DE7562" w:rsidP="00837636">
      <w:pPr>
        <w:pStyle w:val="ListParagraph"/>
        <w:numPr>
          <w:ilvl w:val="1"/>
          <w:numId w:val="1"/>
        </w:numPr>
        <w:tabs>
          <w:tab w:val="left" w:pos="1134"/>
        </w:tabs>
        <w:spacing w:before="120"/>
        <w:ind w:left="1134" w:right="6" w:hanging="567"/>
        <w:jc w:val="left"/>
      </w:pPr>
      <w:hyperlink r:id="rId10" w:history="1">
        <w:r w:rsidR="00947E4E" w:rsidRPr="00AA15AE">
          <w:rPr>
            <w:rStyle w:val="Hyperlink"/>
            <w:spacing w:val="-4"/>
          </w:rPr>
          <w:t xml:space="preserve">Queensland Government response to the Review of the </w:t>
        </w:r>
        <w:r w:rsidR="00947E4E" w:rsidRPr="00AA15AE">
          <w:rPr>
            <w:rStyle w:val="Hyperlink"/>
            <w:i/>
            <w:spacing w:val="-2"/>
          </w:rPr>
          <w:t>Public</w:t>
        </w:r>
        <w:r w:rsidR="00947E4E" w:rsidRPr="00AA15AE">
          <w:rPr>
            <w:rStyle w:val="Hyperlink"/>
            <w:i/>
            <w:spacing w:val="-11"/>
          </w:rPr>
          <w:t xml:space="preserve"> </w:t>
        </w:r>
        <w:r w:rsidR="00947E4E" w:rsidRPr="00AA15AE">
          <w:rPr>
            <w:rStyle w:val="Hyperlink"/>
            <w:i/>
            <w:spacing w:val="-2"/>
          </w:rPr>
          <w:t>Interest</w:t>
        </w:r>
        <w:r w:rsidR="00947E4E" w:rsidRPr="00AA15AE">
          <w:rPr>
            <w:rStyle w:val="Hyperlink"/>
            <w:i/>
            <w:spacing w:val="-7"/>
          </w:rPr>
          <w:t xml:space="preserve"> </w:t>
        </w:r>
        <w:r w:rsidR="00947E4E" w:rsidRPr="00AA15AE">
          <w:rPr>
            <w:rStyle w:val="Hyperlink"/>
            <w:i/>
            <w:spacing w:val="-2"/>
          </w:rPr>
          <w:t>Disclosure</w:t>
        </w:r>
        <w:r w:rsidR="00947E4E" w:rsidRPr="00AA15AE">
          <w:rPr>
            <w:rStyle w:val="Hyperlink"/>
            <w:i/>
            <w:spacing w:val="-9"/>
          </w:rPr>
          <w:t xml:space="preserve"> </w:t>
        </w:r>
        <w:r w:rsidR="00947E4E" w:rsidRPr="00AA15AE">
          <w:rPr>
            <w:rStyle w:val="Hyperlink"/>
            <w:i/>
            <w:spacing w:val="-2"/>
          </w:rPr>
          <w:t>Act</w:t>
        </w:r>
        <w:r w:rsidR="00947E4E" w:rsidRPr="00AA15AE">
          <w:rPr>
            <w:rStyle w:val="Hyperlink"/>
            <w:i/>
            <w:spacing w:val="-7"/>
          </w:rPr>
          <w:t xml:space="preserve"> </w:t>
        </w:r>
        <w:r w:rsidR="00947E4E" w:rsidRPr="00AA15AE">
          <w:rPr>
            <w:rStyle w:val="Hyperlink"/>
            <w:i/>
            <w:spacing w:val="-2"/>
          </w:rPr>
          <w:t>2010</w:t>
        </w:r>
        <w:r w:rsidR="00947E4E" w:rsidRPr="00AA15AE">
          <w:rPr>
            <w:rStyle w:val="Hyperlink"/>
            <w:i/>
            <w:spacing w:val="-8"/>
          </w:rPr>
          <w:t xml:space="preserve"> </w:t>
        </w:r>
        <w:r w:rsidR="00947E4E" w:rsidRPr="00AA15AE">
          <w:rPr>
            <w:rStyle w:val="Hyperlink"/>
            <w:iCs/>
            <w:spacing w:val="-8"/>
          </w:rPr>
          <w:t>R</w:t>
        </w:r>
        <w:r w:rsidR="00947E4E" w:rsidRPr="00AA15AE">
          <w:rPr>
            <w:rStyle w:val="Hyperlink"/>
            <w:spacing w:val="-2"/>
          </w:rPr>
          <w:t>eport – June 2023</w:t>
        </w:r>
        <w:r w:rsidR="00166E0A" w:rsidRPr="00AA15AE">
          <w:rPr>
            <w:rStyle w:val="Hyperlink"/>
            <w:spacing w:val="-2"/>
          </w:rPr>
          <w:t xml:space="preserve"> (Media Release)</w:t>
        </w:r>
      </w:hyperlink>
    </w:p>
    <w:sectPr w:rsidR="00947E4E" w:rsidSect="00837636">
      <w:headerReference w:type="defaul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34B9A" w14:textId="77777777" w:rsidR="0024533B" w:rsidRDefault="0024533B" w:rsidP="00526282">
      <w:r>
        <w:separator/>
      </w:r>
    </w:p>
  </w:endnote>
  <w:endnote w:type="continuationSeparator" w:id="0">
    <w:p w14:paraId="12DA9A00" w14:textId="77777777" w:rsidR="0024533B" w:rsidRDefault="0024533B" w:rsidP="0052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578A" w14:textId="77777777" w:rsidR="0024533B" w:rsidRDefault="0024533B" w:rsidP="00526282">
      <w:r>
        <w:separator/>
      </w:r>
    </w:p>
  </w:footnote>
  <w:footnote w:type="continuationSeparator" w:id="0">
    <w:p w14:paraId="2247EC18" w14:textId="77777777" w:rsidR="0024533B" w:rsidRDefault="0024533B" w:rsidP="0052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E42EA" w14:textId="77777777" w:rsidR="00837636" w:rsidRPr="00937A4A" w:rsidRDefault="00837636" w:rsidP="0083763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45A9CFB8" w14:textId="77777777" w:rsidR="00837636" w:rsidRPr="00937A4A" w:rsidRDefault="00837636" w:rsidP="0083763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1E928EFA" w14:textId="3D7A0BE6" w:rsidR="00837636" w:rsidRPr="00937A4A" w:rsidRDefault="00837636" w:rsidP="0083763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August 2023</w:t>
    </w:r>
  </w:p>
  <w:p w14:paraId="7783CB15" w14:textId="6856BF99" w:rsidR="00837636" w:rsidRDefault="00837636" w:rsidP="00837636">
    <w:pPr>
      <w:pStyle w:val="Header"/>
      <w:spacing w:before="120"/>
      <w:rPr>
        <w:b/>
        <w:u w:val="single"/>
      </w:rPr>
    </w:pPr>
    <w:r>
      <w:rPr>
        <w:b/>
        <w:u w:val="single"/>
      </w:rPr>
      <w:t>Review</w:t>
    </w:r>
    <w:r>
      <w:rPr>
        <w:b/>
        <w:spacing w:val="-5"/>
        <w:u w:val="single"/>
      </w:rPr>
      <w:t xml:space="preserve"> </w:t>
    </w:r>
    <w:r>
      <w:rPr>
        <w:b/>
        <w:u w:val="single"/>
      </w:rPr>
      <w:t>of</w:t>
    </w:r>
    <w:r>
      <w:rPr>
        <w:b/>
        <w:spacing w:val="-5"/>
        <w:u w:val="single"/>
      </w:rPr>
      <w:t xml:space="preserve"> </w:t>
    </w:r>
    <w:r>
      <w:rPr>
        <w:b/>
        <w:u w:val="single"/>
      </w:rPr>
      <w:t>the</w:t>
    </w:r>
    <w:r>
      <w:rPr>
        <w:b/>
        <w:spacing w:val="-6"/>
        <w:u w:val="single"/>
      </w:rPr>
      <w:t xml:space="preserve"> </w:t>
    </w:r>
    <w:r>
      <w:rPr>
        <w:b/>
        <w:i/>
        <w:u w:val="single"/>
      </w:rPr>
      <w:t>Public</w:t>
    </w:r>
    <w:r>
      <w:rPr>
        <w:b/>
        <w:i/>
        <w:spacing w:val="-5"/>
        <w:u w:val="single"/>
      </w:rPr>
      <w:t xml:space="preserve"> </w:t>
    </w:r>
    <w:r>
      <w:rPr>
        <w:b/>
        <w:i/>
        <w:u w:val="single"/>
      </w:rPr>
      <w:t>Interest</w:t>
    </w:r>
    <w:r>
      <w:rPr>
        <w:b/>
        <w:i/>
        <w:spacing w:val="-6"/>
        <w:u w:val="single"/>
      </w:rPr>
      <w:t xml:space="preserve"> </w:t>
    </w:r>
    <w:r>
      <w:rPr>
        <w:b/>
        <w:i/>
        <w:u w:val="single"/>
      </w:rPr>
      <w:t>Disclosure</w:t>
    </w:r>
    <w:r>
      <w:rPr>
        <w:b/>
        <w:i/>
        <w:spacing w:val="-6"/>
        <w:u w:val="single"/>
      </w:rPr>
      <w:t xml:space="preserve"> </w:t>
    </w:r>
    <w:r>
      <w:rPr>
        <w:b/>
        <w:i/>
        <w:u w:val="single"/>
      </w:rPr>
      <w:t>Act</w:t>
    </w:r>
    <w:r>
      <w:rPr>
        <w:b/>
        <w:i/>
        <w:spacing w:val="-3"/>
        <w:u w:val="single"/>
      </w:rPr>
      <w:t xml:space="preserve"> </w:t>
    </w:r>
    <w:r>
      <w:rPr>
        <w:b/>
        <w:i/>
        <w:u w:val="single"/>
      </w:rPr>
      <w:t xml:space="preserve">2010 </w:t>
    </w:r>
    <w:r>
      <w:rPr>
        <w:b/>
        <w:spacing w:val="-2"/>
        <w:u w:val="single"/>
      </w:rPr>
      <w:t>Report – June 2023</w:t>
    </w:r>
  </w:p>
  <w:p w14:paraId="1612E2A9" w14:textId="654D3837" w:rsidR="00837636" w:rsidRDefault="00837636" w:rsidP="00837636">
    <w:pPr>
      <w:pStyle w:val="Header"/>
      <w:spacing w:before="120"/>
      <w:rPr>
        <w:b/>
        <w:u w:val="single"/>
      </w:rPr>
    </w:pPr>
    <w:r>
      <w:rPr>
        <w:b/>
        <w:u w:val="single"/>
      </w:rPr>
      <w:t>Attorney-General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Minster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Justice</w:t>
    </w:r>
    <w:r>
      <w:rPr>
        <w:b/>
        <w:spacing w:val="-2"/>
        <w:u w:val="single"/>
      </w:rPr>
      <w:t xml:space="preserve"> </w:t>
    </w:r>
    <w:r>
      <w:rPr>
        <w:b/>
        <w:u w:val="single"/>
      </w:rPr>
      <w:t>and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Minister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for</w:t>
    </w:r>
    <w:r>
      <w:rPr>
        <w:b/>
        <w:spacing w:val="-4"/>
        <w:u w:val="single"/>
      </w:rPr>
      <w:t xml:space="preserve"> </w:t>
    </w:r>
    <w:r>
      <w:rPr>
        <w:b/>
        <w:u w:val="single"/>
      </w:rPr>
      <w:t>the</w:t>
    </w:r>
    <w:r>
      <w:rPr>
        <w:b/>
        <w:spacing w:val="-5"/>
        <w:u w:val="single"/>
      </w:rPr>
      <w:t xml:space="preserve"> </w:t>
    </w:r>
    <w:r>
      <w:rPr>
        <w:b/>
        <w:u w:val="single"/>
      </w:rPr>
      <w:t>Prevention</w:t>
    </w:r>
    <w:r>
      <w:rPr>
        <w:b/>
        <w:spacing w:val="-5"/>
        <w:u w:val="single"/>
      </w:rPr>
      <w:t xml:space="preserve"> </w:t>
    </w:r>
    <w:r>
      <w:rPr>
        <w:b/>
        <w:u w:val="single"/>
      </w:rPr>
      <w:t>of</w:t>
    </w:r>
    <w:r>
      <w:rPr>
        <w:b/>
        <w:spacing w:val="-3"/>
        <w:u w:val="single"/>
      </w:rPr>
      <w:t xml:space="preserve"> </w:t>
    </w:r>
    <w:r>
      <w:rPr>
        <w:b/>
        <w:u w:val="single"/>
      </w:rPr>
      <w:t>Domestic</w:t>
    </w:r>
    <w:r>
      <w:rPr>
        <w:b/>
      </w:rPr>
      <w:t xml:space="preserve"> </w:t>
    </w:r>
    <w:r>
      <w:rPr>
        <w:b/>
        <w:u w:val="single"/>
      </w:rPr>
      <w:t>and Family Violence</w:t>
    </w:r>
  </w:p>
  <w:p w14:paraId="6D8E34F3" w14:textId="77777777" w:rsidR="00837636" w:rsidRDefault="00837636" w:rsidP="0083763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05C15"/>
    <w:multiLevelType w:val="hybridMultilevel"/>
    <w:tmpl w:val="BC70C992"/>
    <w:lvl w:ilvl="0" w:tplc="940E8370">
      <w:start w:val="1"/>
      <w:numFmt w:val="decimal"/>
      <w:lvlText w:val="%1."/>
      <w:lvlJc w:val="left"/>
      <w:pPr>
        <w:ind w:left="68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02002F9C">
      <w:numFmt w:val="bullet"/>
      <w:lvlText w:val=""/>
      <w:lvlJc w:val="left"/>
      <w:pPr>
        <w:ind w:left="1136" w:hanging="4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E6FE2A46">
      <w:numFmt w:val="bullet"/>
      <w:lvlText w:val="•"/>
      <w:lvlJc w:val="left"/>
      <w:pPr>
        <w:ind w:left="2082" w:hanging="454"/>
      </w:pPr>
      <w:rPr>
        <w:rFonts w:hint="default"/>
        <w:lang w:val="en-US" w:eastAsia="en-US" w:bidi="ar-SA"/>
      </w:rPr>
    </w:lvl>
    <w:lvl w:ilvl="3" w:tplc="3E7EFB26">
      <w:numFmt w:val="bullet"/>
      <w:lvlText w:val="•"/>
      <w:lvlJc w:val="left"/>
      <w:pPr>
        <w:ind w:left="3025" w:hanging="454"/>
      </w:pPr>
      <w:rPr>
        <w:rFonts w:hint="default"/>
        <w:lang w:val="en-US" w:eastAsia="en-US" w:bidi="ar-SA"/>
      </w:rPr>
    </w:lvl>
    <w:lvl w:ilvl="4" w:tplc="98E291B2">
      <w:numFmt w:val="bullet"/>
      <w:lvlText w:val="•"/>
      <w:lvlJc w:val="left"/>
      <w:pPr>
        <w:ind w:left="3968" w:hanging="454"/>
      </w:pPr>
      <w:rPr>
        <w:rFonts w:hint="default"/>
        <w:lang w:val="en-US" w:eastAsia="en-US" w:bidi="ar-SA"/>
      </w:rPr>
    </w:lvl>
    <w:lvl w:ilvl="5" w:tplc="C2D620A2">
      <w:numFmt w:val="bullet"/>
      <w:lvlText w:val="•"/>
      <w:lvlJc w:val="left"/>
      <w:pPr>
        <w:ind w:left="4911" w:hanging="454"/>
      </w:pPr>
      <w:rPr>
        <w:rFonts w:hint="default"/>
        <w:lang w:val="en-US" w:eastAsia="en-US" w:bidi="ar-SA"/>
      </w:rPr>
    </w:lvl>
    <w:lvl w:ilvl="6" w:tplc="5856600A">
      <w:numFmt w:val="bullet"/>
      <w:lvlText w:val="•"/>
      <w:lvlJc w:val="left"/>
      <w:pPr>
        <w:ind w:left="5854" w:hanging="454"/>
      </w:pPr>
      <w:rPr>
        <w:rFonts w:hint="default"/>
        <w:lang w:val="en-US" w:eastAsia="en-US" w:bidi="ar-SA"/>
      </w:rPr>
    </w:lvl>
    <w:lvl w:ilvl="7" w:tplc="B680C98E">
      <w:numFmt w:val="bullet"/>
      <w:lvlText w:val="•"/>
      <w:lvlJc w:val="left"/>
      <w:pPr>
        <w:ind w:left="6797" w:hanging="454"/>
      </w:pPr>
      <w:rPr>
        <w:rFonts w:hint="default"/>
        <w:lang w:val="en-US" w:eastAsia="en-US" w:bidi="ar-SA"/>
      </w:rPr>
    </w:lvl>
    <w:lvl w:ilvl="8" w:tplc="C16272EE">
      <w:numFmt w:val="bullet"/>
      <w:lvlText w:val="•"/>
      <w:lvlJc w:val="left"/>
      <w:pPr>
        <w:ind w:left="7740" w:hanging="454"/>
      </w:pPr>
      <w:rPr>
        <w:rFonts w:hint="default"/>
        <w:lang w:val="en-US" w:eastAsia="en-US" w:bidi="ar-SA"/>
      </w:rPr>
    </w:lvl>
  </w:abstractNum>
  <w:num w:numId="1" w16cid:durableId="73755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C0"/>
    <w:rsid w:val="00166E0A"/>
    <w:rsid w:val="0024533B"/>
    <w:rsid w:val="0031654B"/>
    <w:rsid w:val="00526282"/>
    <w:rsid w:val="00837636"/>
    <w:rsid w:val="00947E4E"/>
    <w:rsid w:val="009753BE"/>
    <w:rsid w:val="009B1ACF"/>
    <w:rsid w:val="00A744C5"/>
    <w:rsid w:val="00AA15AE"/>
    <w:rsid w:val="00AE7CC0"/>
    <w:rsid w:val="00B2033D"/>
    <w:rsid w:val="00DE7562"/>
    <w:rsid w:val="00E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35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5" w:right="2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1"/>
      <w:ind w:left="125" w:right="4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6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47E4E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262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2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26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28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A15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5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15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pcqld.sharepoint.com/sites/DPC-CABINETSERVICES/Shared%20Documents/General/Proactive%20Release/ToBeProcessed/2023/Aug/PIDReportReview/Attachments/Respons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3/Aug/PIDReportReview/Attachments/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01491-E343-433B-B8EF-8ECC839FB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799F6-ACF5-43D1-B2B6-8A957BE23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1092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Base>https://www.cabinet.qld.gov.au/documents/2023/Aug/PIDReportReview/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dcterms:created xsi:type="dcterms:W3CDTF">2023-11-09T02:55:00Z</dcterms:created>
  <dcterms:modified xsi:type="dcterms:W3CDTF">2024-09-26T21:50:00Z</dcterms:modified>
  <cp:category>Crime_and_Corruption_Commission,Local_Government,Parliamentary_Committees,Public_Service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2023-08-03T00:00:00Z</vt:filetime>
  </property>
  <property fmtid="{D5CDD505-2E9C-101B-9397-08002B2CF9AE}" pid="5" name="Producer">
    <vt:lpwstr>Microsoft® Word for Microsoft 365</vt:lpwstr>
  </property>
</Properties>
</file>